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firstLine="709"/>
        <w:jc w:val="center"/>
        <w:rPr>
          <w:color w:val="000000"/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ИНФОРМАЦИЯ ПО ВОПРОСУ № 1</w:t>
      </w:r>
    </w:p>
    <w:p>
      <w:pPr>
        <w:pStyle w:val="Normal"/>
        <w:spacing w:lineRule="auto" w:line="240" w:before="0" w:after="0"/>
        <w:ind w:hanging="0"/>
        <w:jc w:val="center"/>
        <w:rPr>
          <w:color w:val="000000"/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eastAsia="Calibri" w:cs="Times New Roman" w:ascii="Times New Roman" w:hAnsi="Times New Roman"/>
          <w:color w:val="000000"/>
          <w:kern w:val="0"/>
          <w:sz w:val="28"/>
          <w:szCs w:val="28"/>
          <w:shd w:fill="auto" w:val="clear"/>
          <w:lang w:val="ru-RU" w:eastAsia="en-US" w:bidi="ar-SA"/>
        </w:rPr>
        <w:t>О поддержке социально ориентированных некоммерческих организаций</w:t>
        <w:br/>
      </w:r>
      <w:r>
        <w:rPr>
          <w:rFonts w:eastAsia="Calibri" w:cs="Times New Roman" w:ascii="Times New Roman" w:hAnsi="Times New Roman"/>
          <w:b w:val="false"/>
          <w:color w:val="000000"/>
          <w:spacing w:val="-4"/>
          <w:kern w:val="0"/>
          <w:sz w:val="28"/>
          <w:szCs w:val="28"/>
          <w:shd w:fill="auto" w:val="clear"/>
          <w:lang w:val="ru-RU" w:eastAsia="en-US" w:bidi="ar-SA"/>
        </w:rPr>
        <w:t>(далее – СОНКО)</w:t>
      </w:r>
      <w:r>
        <w:rPr>
          <w:rFonts w:eastAsia="Calibri" w:cs="Times New Roman" w:ascii="Times New Roman" w:hAnsi="Times New Roman"/>
          <w:color w:val="000000"/>
          <w:kern w:val="0"/>
          <w:sz w:val="28"/>
          <w:szCs w:val="28"/>
          <w:shd w:fill="auto" w:val="clear"/>
          <w:lang w:val="ru-RU" w:eastAsia="en-US" w:bidi="ar-SA"/>
        </w:rPr>
        <w:t>, осуществляющих деятельность в сфере образования,</w:t>
        <w:br/>
        <w:t>в 2025 году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</w:p>
    <w:p>
      <w:pPr>
        <w:pStyle w:val="Normal"/>
        <w:spacing w:lineRule="auto" w:line="240" w:before="0" w:after="0"/>
        <w:ind w:hanging="0"/>
        <w:jc w:val="center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Courier New" w:ascii="Times New Roman" w:hAnsi="Times New Roman"/>
          <w:color w:val="000000"/>
          <w:sz w:val="28"/>
          <w:szCs w:val="28"/>
        </w:rPr>
        <w:t xml:space="preserve">С целью поддержки СОНКО Министерством образования Омской области (далее </w:t>
      </w:r>
      <w:r>
        <w:rPr>
          <w:rFonts w:eastAsia="Calibri" w:cs="Times New Roman" w:ascii="Times New Roman" w:hAnsi="Times New Roman"/>
          <w:b w:val="false"/>
          <w:color w:val="000000"/>
          <w:spacing w:val="-4"/>
          <w:kern w:val="0"/>
          <w:sz w:val="28"/>
          <w:szCs w:val="28"/>
          <w:shd w:fill="auto" w:val="clear"/>
          <w:lang w:val="ru-RU" w:eastAsia="en-US" w:bidi="ar-SA"/>
        </w:rPr>
        <w:t xml:space="preserve">– </w:t>
      </w:r>
      <w:r>
        <w:rPr>
          <w:rFonts w:cs="Courier New" w:ascii="Times New Roman" w:hAnsi="Times New Roman"/>
          <w:color w:val="000000"/>
          <w:sz w:val="28"/>
          <w:szCs w:val="28"/>
        </w:rPr>
        <w:t>Минобразования) предусмотрен ряд мероприятий.</w:t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Ежегодно в соответствии с Законом Омской области об областном бюджете и государственной программой Омской области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Развитие системы образования Омской области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 xml:space="preserve"> предусматриваются средства областного бюджета для предоставления субсидий, в том числе:</w:t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 на финансовое обеспечение получения дошкольного образования</w:t>
        <w:br/>
        <w:t>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(далее – субсидия на финансовое обеспечение), в соответствии с п</w:t>
      </w:r>
      <w:r>
        <w:rPr>
          <w:rFonts w:ascii="Times New Roman" w:hAnsi="Times New Roman"/>
          <w:bCs/>
          <w:color w:val="000000"/>
          <w:sz w:val="28"/>
          <w:szCs w:val="28"/>
        </w:rPr>
        <w:t>остановлением Правительства Омской области</w:t>
        <w:br/>
        <w:t>от 29 января 2014 года № 5-п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 </w:t>
      </w:r>
      <w:r>
        <w:rPr>
          <w:rFonts w:ascii="Times New Roman" w:hAnsi="Times New Roman"/>
          <w:bCs/>
          <w:color w:val="000000"/>
          <w:sz w:val="28"/>
          <w:szCs w:val="28"/>
        </w:rPr>
        <w:t>юридическим лицам, в том числе некоммерческим организациям</w:t>
        <w:br/>
        <w:t>(за исключением государственных (муниципальных) учреждений), индивидуальным предпринимателям – производителям товаров, работ, услуг</w:t>
        <w:br/>
        <w:t>в сфере дошкольного образования (реализация адаптированной образовательной программы дошкольного образования для детей с тяжелыми нарушениями речи</w:t>
        <w:br/>
        <w:t>и (или) для детей с тяжелыми множественными нарушениями развития</w:t>
        <w:br/>
        <w:t>и осуществление присмотра и ухода за такими детьми) в соответствии</w:t>
        <w:br/>
        <w:t xml:space="preserve">с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bCs/>
          <w:color w:val="000000"/>
          <w:sz w:val="28"/>
          <w:szCs w:val="28"/>
        </w:rPr>
        <w:t>остановлением Правительства Омской области от 31 мая 2017 года № 154-п.</w:t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связи с ограниченностью средств областного бюджета, неполным финансовым обеспечением действующих расходных обязательств и отсутствием источников дополнительных поступлений в областной бюджет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2025 году </w:t>
      </w:r>
      <w:r>
        <w:rPr>
          <w:rFonts w:ascii="Times New Roman" w:hAnsi="Times New Roman"/>
          <w:bCs/>
          <w:color w:val="000000"/>
          <w:sz w:val="28"/>
          <w:szCs w:val="28"/>
        </w:rPr>
        <w:t>средства областного бюджета предусмотрены Минобразования на предоставление субсидий не в полном объеме.</w:t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Для обеспечения системного подхода при подготовке к проведению итоговой аттестации в целях недопущения срыва экзаменационной кампании 2025 года средства областного бюджета предусмотрены на предоставление субсидии на финансовое обеспечение негосударственным образовательным организациям, реализующим программы начального общего, основного общего</w:t>
        <w:br/>
        <w:t>и среднего общего образования, в объеме 106 058 848,00 руб. В апреле 2025 года указанные средства распределены негосударственным образовательным организациям в соответствии с заключенными соглашениями по результатам проведенного отбора.</w:t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Средства областного бюджета на предоставление субсидии на финансовое обеспечение негосударственным образовательным организациям, реализующим программу дошкольного образования, в 2025 году не предусмотрены.</w:t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соответствии с Указом Губернатора Омской области от 14 ноября 2024 года № 250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О внесении изменений в отдельные указы Губернатора Омской области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 xml:space="preserve"> с 17 января 2025 года функции в сфере организации отдыха</w:t>
        <w:br/>
        <w:t>и оздоровления детей переданы от Министерства спорта Омской области</w:t>
        <w:br/>
        <w:t>в Минобразования.</w:t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целях систематизации сведений об организациях отдыха детей</w:t>
        <w:br/>
        <w:t>и их оздоровления Минобразования ведется реестр организаций отдыха детей</w:t>
        <w:br/>
        <w:t>и их оздоровления на территории Омской области (далее – реестр).</w:t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состоянию на текущую дату в реестр включены 626 организаций отдыха детей и их оздоровления, из них:</w:t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- 32 загородных лагеря отдыха и оздоровления детей;</w:t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- 28 детских лагерей палаточного типа;</w:t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- 566 лагерей с дневным пребыванием детей.</w:t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 32 загородных лагерей отдыха и оздоровления детей – 6 лагерей частной формы собственности. Из 28 детских лагерей палаточного типа –</w:t>
        <w:br/>
        <w:t>1 лагерь частной формы собственности.</w:t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Омской области поддержка организаций отдыха детей и их оздоровления частной формы собственности осуществляется путем предоставления субсидий</w:t>
        <w:br/>
        <w:t>из областного бюджета в рамках постановления Правительства Омской области</w:t>
        <w:br/>
        <w:t xml:space="preserve">от 26 мая 2021 года № 217-п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Об утверждении Порядка предоставления за счет средств областного бюджета субсидий юридическим лицам (за исключением государственных (муниципальных) учреждений), индивидуальным предпринимателям в сфере организации отдыха и оздоровления детей в Омской области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2025 году детскому оздоровительному лагерю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Спутник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 xml:space="preserve"> общества</w:t>
        <w:br/>
        <w:t xml:space="preserve">с ограниченной ответственностью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 xml:space="preserve">АК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Омскагрегат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 xml:space="preserve"> предоставлена субсидия</w:t>
        <w:br/>
        <w:t>из бюджета Омской области в размере 20 855 687,48 руб.</w:t>
        <w:br/>
        <w:t>(федеральные средства – 18 561 561,86 руб., областные средства –</w:t>
        <w:br/>
        <w:t>2 294 125,62 руб.) на создание современной инфраструктуры для отдыха детей</w:t>
        <w:br/>
        <w:t>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br/>
      </w:r>
      <w:r>
        <w:rPr>
          <w:rFonts w:ascii="Times New Roman" w:hAnsi="Times New Roman"/>
          <w:color w:val="000000"/>
          <w:sz w:val="28"/>
          <w:szCs w:val="28"/>
        </w:rPr>
        <w:t>(на проведение капитального ремонта медицинского пункта).</w:t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настоящее время ведется работа по формированию проекта областного бюджета на 2026 год и плановый период 2027 – 2028 годов</w:t>
      </w:r>
      <w:bookmarkStart w:id="0" w:name="_GoBack"/>
      <w:bookmarkEnd w:id="0"/>
      <w:r>
        <w:rPr>
          <w:rFonts w:ascii="Times New Roman" w:hAnsi="Times New Roman"/>
          <w:bCs/>
          <w:color w:val="000000"/>
          <w:sz w:val="28"/>
          <w:szCs w:val="28"/>
        </w:rPr>
        <w:t>. Расчет потребности</w:t>
        <w:br/>
        <w:t>в средствах областного бюджета для осуществления поддержки</w:t>
      </w:r>
      <w:r>
        <w:rPr>
          <w:rFonts w:ascii="Times New Roman" w:hAnsi="Times New Roman"/>
          <w:color w:val="000000"/>
          <w:sz w:val="28"/>
          <w:szCs w:val="28"/>
        </w:rPr>
        <w:t xml:space="preserve"> негосударственных образовательных организаций будет сформирован Минобразования и направлен в Министерство финансов Омской области</w:t>
        <w:br/>
        <w:t>в соответствии с установленным порядком.</w:t>
      </w:r>
    </w:p>
    <w:p>
      <w:pPr>
        <w:pStyle w:val="Normal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Омской области проведены мероприятия по реализации Федерального закона от 13 июля 2020 года № 189-ФЗ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О государственном (муниципальном) социальном заказе на оказание государственных (муниципальных) услуг</w:t>
        <w:br/>
        <w:t>в социальной сфере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 xml:space="preserve"> (далее – Закон № 189-ФЗ).</w:t>
      </w:r>
    </w:p>
    <w:p>
      <w:pPr>
        <w:pStyle w:val="Normal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Законом № 189-ФЗ определено, что потребители услуги могут получить государственные (муниципальные) услуги в социальной сфере в рамках социального сертификата. При применении социальных сертификатов сохранены принципы реализации дополнительных общеразвивающих программ</w:t>
        <w:br/>
        <w:t>с использованием сертификатов персонифицированного финансирования дополнительного образования (далее – ПФДО).</w:t>
      </w:r>
    </w:p>
    <w:p>
      <w:pPr>
        <w:pStyle w:val="Normal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Постановлением Правительства Омской области от 2 марта 2023 года</w:t>
        <w:br/>
        <w:t xml:space="preserve">№ 96-п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Об организации оказания государственных услуг в социальной сфере при формировании государственного социального заказа на оказание государственных услуг в социальной сфере на территории Омской области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 xml:space="preserve"> утверждается  государственный социальный заказ на оказание государственных услуг</w:t>
        <w:br/>
        <w:t xml:space="preserve">в социальной сфере по направлению деятельности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Реализация дополнительных образовательных программ (за исключением дополнительных предпрофессиональных программ в области искусств)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 xml:space="preserve"> (в части реализации дополнительных общеразвивающих программ для детей) на территории Омской области в соответствии с положениями Закона № 189-ФЗ.</w:t>
      </w:r>
    </w:p>
    <w:p>
      <w:pPr>
        <w:pStyle w:val="Normal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СОНКО предоставлена возможность участия в социальном заказе</w:t>
        <w:br/>
        <w:t xml:space="preserve">на оказание государственных услуг по направлению деятельности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Реализация дополнительных образовательных программ (за исключением дополнительных предпрофессиональных программ в области искусств)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состоянию на 31 декабря 2024 года в государственной информационной системе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Навигатор дополнительного образования Омской области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 xml:space="preserve"> зарегистрировано 49 организаций негосударственного сектора (на 11 организаций больше, чем в 2023 году), из которых в системе ПФДО участвовало</w:t>
        <w:br/>
        <w:t xml:space="preserve">3 негосударственные организации: автономная некоммерческая организация (далее – АНО)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 xml:space="preserve">Семейный физкультурно-досуговый центр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Лотос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, общество</w:t>
        <w:br/>
        <w:t xml:space="preserve">с ограниченной ответственностью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 xml:space="preserve">ЦЕНТР ОБРАЗОВАТЕЛЬНЫХ ИНИЦИАТИВ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СТЕМ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 xml:space="preserve">, АНО ДО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 xml:space="preserve">Центр современного развития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Альтер Эго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, расположенные на территории города Омска.</w:t>
      </w:r>
    </w:p>
    <w:p>
      <w:pPr>
        <w:pStyle w:val="Normal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По сравнению с 2023 годом количество:</w:t>
      </w:r>
    </w:p>
    <w:p>
      <w:pPr>
        <w:pStyle w:val="Normal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- негосударственных организаций, участвующих в системе ПФДО, увеличилось на 2 организации;</w:t>
      </w:r>
    </w:p>
    <w:p>
      <w:pPr>
        <w:pStyle w:val="Normal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- детей, воспользовавшихся средствами социального сертификата, возросло на 37 человек.</w:t>
      </w:r>
    </w:p>
    <w:p>
      <w:pPr>
        <w:pStyle w:val="Normal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Недостаточная активность использования негосударственным сектором социального сертификата обусловлена его низкой стоимостью (в 2024 году</w:t>
        <w:br/>
        <w:t>по городу Омску – 2 080 руб.).</w:t>
      </w:r>
    </w:p>
    <w:p>
      <w:pPr>
        <w:pStyle w:val="Normal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рамках информационно-разъяснительной работы с СОНКО предусмотрены мероприятия по оказанию методической, консультационной</w:t>
        <w:br/>
        <w:t>и информационной поддержки.</w:t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На официальном сайте Минобразования размещена информация о порядке предоставления субсидий СОНКО, порядке лицензирования образовательной деятельности, методические указания, рекомендации по созданию негосударственных дошкольных организаций.</w:t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Руководителям частных образовательных организаций, индивидуальным предпринимателям, субъектам малого и среднего предпринимательства оказывается информационная, правовая, методическая поддержка, предоставляются консультации.</w:t>
      </w:r>
    </w:p>
    <w:p>
      <w:pPr>
        <w:pStyle w:val="Normal"/>
        <w:suppressAutoHyphens w:val="tru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Организована работа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горячей линии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вопросам деятельности СОНКО, осуществляющих деятельность в сфере образования.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false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Таким образом, в Омской области созданы условия</w:t>
        <w:br/>
      </w:r>
      <w:r>
        <w:rPr>
          <w:rFonts w:cs="Courier New" w:ascii="Times New Roman" w:hAnsi="Times New Roman"/>
          <w:color w:val="000000"/>
          <w:sz w:val="28"/>
          <w:szCs w:val="28"/>
        </w:rPr>
        <w:t>для функционирования СОНКО в сфере образования:</w:t>
      </w:r>
    </w:p>
    <w:p>
      <w:pPr>
        <w:pStyle w:val="Normal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 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/>
          <w:bCs/>
          <w:color w:val="000000"/>
          <w:sz w:val="28"/>
          <w:szCs w:val="28"/>
        </w:rPr>
        <w:t>6 частных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образовательных организаций, реализующих программу дошкольного образования;</w:t>
      </w:r>
    </w:p>
    <w:p>
      <w:pPr>
        <w:pStyle w:val="Normal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16 частных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образовательных организаций, реализующих программу общего образования;</w:t>
      </w:r>
    </w:p>
    <w:p>
      <w:pPr>
        <w:pStyle w:val="Normal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- 49 образовательных организаций, реализующих программу дополнительного образования детей;</w:t>
      </w:r>
    </w:p>
    <w:p>
      <w:pPr>
        <w:pStyle w:val="Normal"/>
        <w:spacing w:lineRule="auto" w:line="240" w:before="0" w:after="0"/>
        <w:ind w:firstLine="709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- 7 организаций, осуществляющих деятельность в сфере детского отдыха</w:t>
        <w:br/>
        <w:t>и оздоровления.</w:t>
      </w:r>
    </w:p>
    <w:sectPr>
      <w:headerReference w:type="default" r:id="rId2"/>
      <w:headerReference w:type="first" r:id="rId3"/>
      <w:type w:val="nextPage"/>
      <w:pgSz w:w="11906" w:h="16838"/>
      <w:pgMar w:left="1247" w:right="680" w:gutter="0" w:header="402" w:top="913" w:footer="0" w:bottom="846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Arial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Symbol">
    <w:charset w:val="01"/>
    <w:family w:val="roman"/>
    <w:pitch w:val="default"/>
  </w:font>
  <w:font w:name="Tahoma">
    <w:charset w:val="01"/>
    <w:family w:val="roman"/>
    <w:pitch w:val="default"/>
  </w:font>
  <w:font w:name="Times New Roman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sz w:val="24"/>
        <w:szCs w:val="24"/>
        <w:rFonts w:ascii="Times New Roman" w:hAnsi="Times New Roman"/>
      </w:rPr>
      <w:instrText xml:space="preserve"> PAGE </w:instrText>
    </w:r>
    <w:r>
      <w:rPr>
        <w:sz w:val="24"/>
        <w:szCs w:val="24"/>
        <w:rFonts w:ascii="Times New Roman" w:hAnsi="Times New Roman"/>
      </w:rPr>
      <w:fldChar w:fldCharType="separate"/>
    </w:r>
    <w:r>
      <w:rPr>
        <w:sz w:val="24"/>
        <w:szCs w:val="24"/>
        <w:rFonts w:ascii="Times New Roman" w:hAnsi="Times New Roman"/>
      </w:rPr>
      <w:t>4</w:t>
    </w:r>
    <w:r>
      <w:rPr>
        <w:sz w:val="24"/>
        <w:szCs w:val="24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3"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numPr>
        <w:ilvl w:val="0"/>
        <w:numId w:val="1"/>
      </w:numPr>
      <w:spacing w:before="480" w:after="0"/>
      <w:outlineLvl w:val="0"/>
    </w:pPr>
    <w:rPr>
      <w:rFonts w:ascii="Cambria" w:hAnsi="Cambria" w:eastAsia="Times New Roman" w:cs="Cambria"/>
      <w:b/>
      <w:bCs/>
      <w:color w:val="365F91"/>
      <w:sz w:val="28"/>
      <w:szCs w:val="28"/>
      <w:lang w:val="ru-RU"/>
    </w:rPr>
  </w:style>
  <w:style w:type="character" w:styleId="WW8Num4z0">
    <w:name w:val="WW8Num4z0"/>
    <w:qFormat/>
    <w:rPr/>
  </w:style>
  <w:style w:type="character" w:styleId="WW8Num5z0">
    <w:name w:val="WW8Num5z0"/>
    <w:qFormat/>
    <w:rPr>
      <w:b w:val="false"/>
    </w:rPr>
  </w:style>
  <w:style w:type="character" w:styleId="WW8Num6z0">
    <w:name w:val="WW8Num6z0"/>
    <w:qFormat/>
    <w:rPr>
      <w:rFonts w:ascii="Arial" w:hAnsi="Arial" w:cs="Arial"/>
    </w:rPr>
  </w:style>
  <w:style w:type="character" w:styleId="WW8Num7z0">
    <w:name w:val="WW8Num7z0"/>
    <w:qFormat/>
    <w:rPr>
      <w:rFonts w:ascii="Arial" w:hAnsi="Arial" w:cs="Arial"/>
    </w:rPr>
  </w:style>
  <w:style w:type="character" w:styleId="WW8Num9z0">
    <w:name w:val="WW8Num9z0"/>
    <w:qFormat/>
    <w:rPr>
      <w:rFonts w:ascii="Times New Roman" w:hAnsi="Times New Roman" w:eastAsia="Calibri" w:cs="Times New Roman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/>
  </w:style>
  <w:style w:type="character" w:styleId="WW8Num11z0">
    <w:name w:val="WW8Num11z0"/>
    <w:qFormat/>
    <w:rPr>
      <w:b w:val="false"/>
    </w:rPr>
  </w:style>
  <w:style w:type="character" w:styleId="WW8Num12z0">
    <w:name w:val="WW8Num12z0"/>
    <w:qFormat/>
    <w:rPr/>
  </w:style>
  <w:style w:type="character" w:styleId="Style13">
    <w:name w:val="Основной шрифт абзаца"/>
    <w:qFormat/>
    <w:rPr/>
  </w:style>
  <w:style w:type="character" w:styleId="1">
    <w:name w:val="Заголовок 1 Знак"/>
    <w:qFormat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Style14">
    <w:name w:val="Верхний колонтитул Знак"/>
    <w:basedOn w:val="Style13"/>
    <w:qFormat/>
    <w:rPr/>
  </w:style>
  <w:style w:type="character" w:styleId="Style15">
    <w:name w:val="Нижний колонтитул Знак"/>
    <w:qFormat/>
    <w:rPr>
      <w:sz w:val="22"/>
      <w:szCs w:val="22"/>
    </w:rPr>
  </w:style>
  <w:style w:type="character" w:styleId="Normaltextrunscxw84633811">
    <w:name w:val="normaltextrun scxw84633811"/>
    <w:basedOn w:val="Style13"/>
    <w:qFormat/>
    <w:rPr/>
  </w:style>
  <w:style w:type="character" w:styleId="Eopscxw84633811">
    <w:name w:val="eop scxw84633811"/>
    <w:basedOn w:val="Style13"/>
    <w:qFormat/>
    <w:rPr/>
  </w:style>
  <w:style w:type="character" w:styleId="Contextualspellingandgrammarerrorscxw84633811">
    <w:name w:val="contextualspellingandgrammarerror scxw84633811"/>
    <w:basedOn w:val="Style13"/>
    <w:qFormat/>
    <w:rPr/>
  </w:style>
  <w:style w:type="character" w:styleId="Spellingerrorscxw84633811">
    <w:name w:val="spellingerror scxw84633811"/>
    <w:basedOn w:val="Style13"/>
    <w:qFormat/>
    <w:rPr/>
  </w:style>
  <w:style w:type="character" w:styleId="Style16">
    <w:name w:val="Текст выноски Знак"/>
    <w:qFormat/>
    <w:rPr>
      <w:rFonts w:ascii="Tahoma" w:hAnsi="Tahoma" w:cs="Tahoma"/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Style17">
    <w:name w:val="Без интервала Знак"/>
    <w:qFormat/>
    <w:rPr>
      <w:sz w:val="22"/>
      <w:szCs w:val="22"/>
      <w:lang w:bidi="ar-SA"/>
    </w:rPr>
  </w:style>
  <w:style w:type="character" w:styleId="FontStyle19">
    <w:name w:val="Font Style19"/>
    <w:qFormat/>
    <w:rPr>
      <w:rFonts w:ascii="Times New Roman" w:hAnsi="Times New Roman" w:cs="Times New Roman"/>
      <w:b/>
      <w:bCs/>
      <w:sz w:val="26"/>
      <w:szCs w:val="26"/>
    </w:rPr>
  </w:style>
  <w:style w:type="character" w:styleId="FontStyle21">
    <w:name w:val="Font Style21"/>
    <w:qFormat/>
    <w:rPr>
      <w:rFonts w:ascii="Times New Roman" w:hAnsi="Times New Roman" w:cs="Times New Roman"/>
      <w:sz w:val="26"/>
      <w:szCs w:val="26"/>
    </w:rPr>
  </w:style>
  <w:style w:type="character" w:styleId="Normaltextrunscxw245687398">
    <w:name w:val="normaltextrun scxw245687398"/>
    <w:qFormat/>
    <w:rPr/>
  </w:style>
  <w:style w:type="character" w:styleId="2">
    <w:name w:val="Обычный (веб) Знак2"/>
    <w:qFormat/>
    <w:rPr>
      <w:rFonts w:ascii="Times New Roman" w:hAnsi="Times New Roman" w:eastAsia="Times New Roman" w:cs="Times New Roman"/>
      <w:sz w:val="24"/>
      <w:szCs w:val="24"/>
    </w:rPr>
  </w:style>
  <w:style w:type="character" w:styleId="Style18">
    <w:name w:val="Абзац списка Знак"/>
    <w:qFormat/>
    <w:rPr>
      <w:sz w:val="22"/>
      <w:szCs w:val="22"/>
    </w:rPr>
  </w:style>
  <w:style w:type="character" w:styleId="HTML">
    <w:name w:val="Стандартный HTML Знак"/>
    <w:qFormat/>
    <w:rPr>
      <w:rFonts w:ascii="Courier New" w:hAnsi="Courier New" w:eastAsia="Times New Roman" w:cs="Courier New"/>
    </w:rPr>
  </w:style>
  <w:style w:type="character" w:styleId="Hyperlink">
    <w:name w:val="Hyperlink"/>
    <w:rPr>
      <w:color w:val="0000FF"/>
      <w:u w:val="single"/>
    </w:rPr>
  </w:style>
  <w:style w:type="character" w:styleId="FontStyle20">
    <w:name w:val="Font Style20"/>
    <w:qFormat/>
    <w:rPr>
      <w:rFonts w:ascii="Times New Roman" w:hAnsi="Times New Roman" w:cs="Times New Roman"/>
      <w:sz w:val="26"/>
      <w:szCs w:val="26"/>
    </w:rPr>
  </w:style>
  <w:style w:type="character" w:styleId="Pt-a0">
    <w:name w:val="pt-a0"/>
    <w:basedOn w:val="Style13"/>
    <w:qFormat/>
    <w:rPr/>
  </w:style>
  <w:style w:type="character" w:styleId="Style19">
    <w:name w:val="Основной текст_"/>
    <w:qFormat/>
    <w:rPr>
      <w:rFonts w:ascii="Times New Roman" w:hAnsi="Times New Roman" w:eastAsia="Times New Roman" w:cs="Times New Roman"/>
      <w:sz w:val="26"/>
      <w:szCs w:val="26"/>
      <w:shd w:fill="FFFFFF" w:val="clear"/>
    </w:rPr>
  </w:style>
  <w:style w:type="character" w:styleId="Extendedtext-short">
    <w:name w:val="extendedtext-short"/>
    <w:basedOn w:val="Style13"/>
    <w:qFormat/>
    <w:rPr/>
  </w:style>
  <w:style w:type="character" w:styleId="Style20">
    <w:name w:val="Знак Знак"/>
    <w:qFormat/>
    <w:rPr>
      <w:rFonts w:ascii="Times New Roman" w:hAnsi="Times New Roman" w:eastAsia="Times New Roman" w:cs="Times New Roman"/>
      <w:color w:val="000000"/>
      <w:sz w:val="24"/>
      <w:szCs w:val="24"/>
      <w:lang w:eastAsia="zh-CN"/>
    </w:rPr>
  </w:style>
  <w:style w:type="character" w:styleId="DefaultParagraphFont">
    <w:name w:val="Default Paragraph Font"/>
    <w:qFormat/>
    <w:rPr/>
  </w:style>
  <w:style w:type="character" w:styleId="11">
    <w:name w:val="Основной текст1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styleId="Fontstyle01">
    <w:name w:val="fontstyle01"/>
    <w:qFormat/>
    <w:rPr>
      <w:rFonts w:ascii="Times New Roman;Times New Roman" w:hAnsi="Times New Roman;Times New Roman" w:cs="Times New Roman;Times New Roman"/>
      <w:b w:val="false"/>
      <w:bCs w:val="false"/>
      <w:i w:val="false"/>
      <w:iCs w:val="false"/>
      <w:color w:val="000000"/>
      <w:sz w:val="28"/>
      <w:szCs w:val="28"/>
    </w:rPr>
  </w:style>
  <w:style w:type="paragraph" w:styleId="Style21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3">
    <w:name w:val="Абзац списка"/>
    <w:basedOn w:val="Normal"/>
    <w:qFormat/>
    <w:pPr>
      <w:spacing w:before="0" w:after="200"/>
      <w:ind w:hanging="0" w:left="720"/>
      <w:contextualSpacing/>
    </w:pPr>
    <w:rPr>
      <w:lang w:val="ru-RU"/>
    </w:rPr>
  </w:style>
  <w:style w:type="paragraph" w:styleId="Style24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paragraph" w:styleId="Style25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>
      <w:lang w:val="ru-RU"/>
    </w:rPr>
  </w:style>
  <w:style w:type="paragraph" w:styleId="Paragraphscxw84633811">
    <w:name w:val="paragraph scxw84633811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Style26">
    <w:name w:val="Текст выноски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  <w:lang w:val="ru-RU"/>
    </w:rPr>
  </w:style>
  <w:style w:type="paragraph" w:styleId="Style27">
    <w:name w:val="Обычный (веб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val="ru-RU"/>
    </w:rPr>
  </w:style>
  <w:style w:type="paragraph" w:styleId="Account01">
    <w:name w:val="account01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ConsPlusTitlePage">
    <w:name w:val="ConsPlusTitlePage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zh-CN" w:bidi="ar-SA"/>
    </w:rPr>
  </w:style>
  <w:style w:type="paragraph" w:styleId="Style41">
    <w:name w:val="Style4"/>
    <w:basedOn w:val="Normal"/>
    <w:qFormat/>
    <w:pPr>
      <w:widowControl w:val="false"/>
      <w:spacing w:lineRule="exact" w:line="317" w:before="0" w:after="0"/>
      <w:ind w:firstLine="288"/>
    </w:pPr>
    <w:rPr>
      <w:rFonts w:ascii="Times New Roman" w:hAnsi="Times New Roman" w:eastAsia="Times New Roman" w:cs="Times New Roman"/>
      <w:sz w:val="24"/>
      <w:szCs w:val="24"/>
    </w:rPr>
  </w:style>
  <w:style w:type="paragraph" w:styleId="Paragraphscxw245687398">
    <w:name w:val="paragraph scxw245687398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HTML1">
    <w:name w:val="Стандартный HTML"/>
    <w:basedOn w:val="Normal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val="ru-RU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Batang;바탕" w:cs="Times New Roman"/>
      <w:b/>
      <w:bCs/>
      <w:color w:val="auto"/>
      <w:kern w:val="0"/>
      <w:sz w:val="24"/>
      <w:szCs w:val="24"/>
      <w:lang w:val="ru-RU" w:eastAsia="ko-KR" w:bidi="ar-SA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0"/>
      <w:lang w:val="ru-RU" w:eastAsia="zh-CN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zh-CN" w:bidi="ar-SA"/>
    </w:rPr>
  </w:style>
  <w:style w:type="paragraph" w:styleId="21">
    <w:name w:val="Основной текст2"/>
    <w:basedOn w:val="Normal"/>
    <w:qFormat/>
    <w:pPr>
      <w:widowControl w:val="false"/>
      <w:shd w:val="clear" w:fill="FFFFFF"/>
      <w:spacing w:lineRule="exact" w:line="317" w:before="0" w:after="0"/>
    </w:pPr>
    <w:rPr>
      <w:rFonts w:ascii="Times New Roman" w:hAnsi="Times New Roman" w:eastAsia="Times New Roman" w:cs="Times New Roman"/>
      <w:sz w:val="26"/>
      <w:szCs w:val="26"/>
      <w:lang w:val="ru-RU"/>
    </w:rPr>
  </w:style>
  <w:style w:type="paragraph" w:styleId="ConsNormal">
    <w:name w:val="ConsNormal"/>
    <w:qFormat/>
    <w:pPr>
      <w:widowControl w:val="false"/>
      <w:suppressAutoHyphens w:val="true"/>
      <w:bidi w:val="0"/>
      <w:spacing w:before="0" w:after="0"/>
      <w:ind w:firstLine="720" w:right="19772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zh-CN" w:bidi="ar-SA"/>
    </w:rPr>
  </w:style>
  <w:style w:type="paragraph" w:styleId="12">
    <w:name w:val="Обычный1"/>
    <w:qFormat/>
    <w:pPr>
      <w:widowControl/>
      <w:suppressAutoHyphens w:val="true"/>
      <w:bidi w:val="0"/>
      <w:spacing w:before="0" w:after="0"/>
      <w:contextualSpacing/>
      <w:jc w:val="left"/>
    </w:pPr>
    <w:rPr>
      <w:rFonts w:ascii="Arial" w:hAnsi="Arial" w:eastAsia="Calibri" w:cs="Arial"/>
      <w:color w:val="auto"/>
      <w:kern w:val="0"/>
      <w:sz w:val="24"/>
      <w:szCs w:val="24"/>
      <w:lang w:val="ru-RU" w:eastAsia="zh-CN" w:bidi="ar-SA"/>
    </w:rPr>
  </w:style>
  <w:style w:type="paragraph" w:styleId="Style28">
    <w:name w:val="основной текст методрекомендаций"/>
    <w:basedOn w:val="Normal"/>
    <w:qFormat/>
    <w:pPr>
      <w:spacing w:lineRule="auto" w:line="240" w:before="0" w:after="0"/>
      <w:ind w:firstLine="708"/>
      <w:jc w:val="both"/>
    </w:pPr>
    <w:rPr>
      <w:rFonts w:ascii="Times New Roman" w:hAnsi="Times New Roman" w:eastAsia="Times New Roman" w:cs="Times New Roman"/>
      <w:color w:val="000000"/>
      <w:sz w:val="28"/>
      <w:szCs w:val="28"/>
    </w:rPr>
  </w:style>
  <w:style w:type="paragraph" w:styleId="Western">
    <w:name w:val="western"/>
    <w:basedOn w:val="Normal"/>
    <w:qFormat/>
    <w:pPr>
      <w:spacing w:before="280" w:after="142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qFormat/>
    <w:pPr>
      <w:spacing w:before="0" w:after="160"/>
      <w:ind w:hanging="0" w:left="720"/>
      <w:contextualSpacing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1529</TotalTime>
  <Application>LibreOffice/7.6.7.2$Linux_X86_64 LibreOffice_project/60$Build-2</Application>
  <AppVersion>15.0000</AppVersion>
  <Pages>4</Pages>
  <Words>1032</Words>
  <Characters>7732</Characters>
  <CharactersWithSpaces>8741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2022-03-15T15:33:00Z</dcterms:created>
  <dc:creator>Hewlett-Packard Company</dc:creator>
  <dc:description/>
  <dc:language>ru-RU</dc:language>
  <cp:lastModifiedBy/>
  <cp:lastPrinted>2025-03-06T10:41:42Z</cp:lastPrinted>
  <dcterms:modified xsi:type="dcterms:W3CDTF">2025-06-05T10:33:57Z</dcterms:modified>
  <cp:revision>173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